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636BFC" w:rsidRPr="00636BFC">
        <w:rPr>
          <w:rFonts w:ascii="Calibri" w:hAnsi="Calibri" w:cs="Calibri"/>
          <w:sz w:val="22"/>
          <w:szCs w:val="22"/>
        </w:rPr>
        <w:t>816152/2010</w:t>
      </w:r>
      <w:r w:rsidR="00636BFC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636BFC" w:rsidRPr="00636BFC">
        <w:rPr>
          <w:rFonts w:ascii="Calibri" w:hAnsi="Calibri" w:cs="Calibri"/>
          <w:sz w:val="22"/>
          <w:szCs w:val="22"/>
        </w:rPr>
        <w:t xml:space="preserve">Agroindustrial </w:t>
      </w:r>
      <w:proofErr w:type="spellStart"/>
      <w:r w:rsidR="00636BFC" w:rsidRPr="00636BFC">
        <w:rPr>
          <w:rFonts w:ascii="Calibri" w:hAnsi="Calibri" w:cs="Calibri"/>
          <w:sz w:val="22"/>
          <w:szCs w:val="22"/>
        </w:rPr>
        <w:t>Brianorte</w:t>
      </w:r>
      <w:proofErr w:type="spellEnd"/>
      <w:r w:rsidR="00636BFC" w:rsidRPr="00636BFC">
        <w:rPr>
          <w:rFonts w:ascii="Calibri" w:hAnsi="Calibri" w:cs="Calibri"/>
          <w:sz w:val="22"/>
          <w:szCs w:val="22"/>
        </w:rPr>
        <w:t xml:space="preserve"> Ltda</w:t>
      </w:r>
      <w:r w:rsidR="00636BFC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636BFC" w:rsidRPr="00636BFC">
        <w:rPr>
          <w:rFonts w:ascii="Calibri" w:hAnsi="Calibri" w:cs="Calibri"/>
          <w:sz w:val="22"/>
          <w:szCs w:val="22"/>
        </w:rPr>
        <w:t>108792, de 21/10/2010.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="00990473" w:rsidRPr="0099047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636BFC" w:rsidRPr="00636BFC">
        <w:rPr>
          <w:rFonts w:ascii="Calibri" w:hAnsi="Calibri" w:cs="Calibri"/>
          <w:sz w:val="22"/>
          <w:szCs w:val="22"/>
        </w:rPr>
        <w:t>Flávio Lima de Oliveira – SINFRA</w:t>
      </w:r>
      <w:r w:rsidR="00636BFC">
        <w:rPr>
          <w:rFonts w:ascii="Calibri" w:hAnsi="Calibri" w:cs="Calibri"/>
          <w:sz w:val="22"/>
          <w:szCs w:val="22"/>
        </w:rPr>
        <w:t>.</w:t>
      </w:r>
    </w:p>
    <w:p w:rsidR="00367353" w:rsidRPr="00D50F11" w:rsidRDefault="00636BFC" w:rsidP="00636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Pr="00636BFC">
        <w:rPr>
          <w:rFonts w:ascii="Calibri" w:hAnsi="Calibri" w:cs="Calibri"/>
          <w:sz w:val="22"/>
          <w:szCs w:val="22"/>
        </w:rPr>
        <w:t xml:space="preserve">Sérgio </w:t>
      </w:r>
      <w:proofErr w:type="spellStart"/>
      <w:r w:rsidRPr="00636BFC">
        <w:rPr>
          <w:rFonts w:ascii="Calibri" w:hAnsi="Calibri" w:cs="Calibri"/>
          <w:sz w:val="22"/>
          <w:szCs w:val="22"/>
        </w:rPr>
        <w:t>Dressler</w:t>
      </w:r>
      <w:proofErr w:type="spellEnd"/>
      <w:r w:rsidRPr="00636B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6BFC">
        <w:rPr>
          <w:rFonts w:ascii="Calibri" w:hAnsi="Calibri" w:cs="Calibri"/>
          <w:sz w:val="22"/>
          <w:szCs w:val="22"/>
        </w:rPr>
        <w:t>Buss</w:t>
      </w:r>
      <w:proofErr w:type="spellEnd"/>
      <w:r w:rsidRPr="00636BFC">
        <w:rPr>
          <w:rFonts w:ascii="Calibri" w:hAnsi="Calibri" w:cs="Calibri"/>
          <w:sz w:val="22"/>
          <w:szCs w:val="22"/>
        </w:rPr>
        <w:t xml:space="preserve"> – OAB/MT 5.431-A.</w:t>
      </w:r>
    </w:p>
    <w:p w:rsidR="00636BFC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636BFC">
        <w:rPr>
          <w:rFonts w:asciiTheme="minorHAnsi" w:hAnsiTheme="minorHAnsi" w:cstheme="minorHAnsi"/>
          <w:b/>
          <w:sz w:val="22"/>
          <w:szCs w:val="22"/>
        </w:rPr>
        <w:t>43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BFC" w:rsidRPr="00636BFC" w:rsidRDefault="00636BFC" w:rsidP="00636BFC">
      <w:pPr>
        <w:jc w:val="both"/>
        <w:rPr>
          <w:rFonts w:ascii="Calibri" w:hAnsi="Calibri" w:cs="Calibri"/>
          <w:sz w:val="22"/>
          <w:szCs w:val="22"/>
        </w:rPr>
      </w:pPr>
      <w:r w:rsidRPr="00636BFC">
        <w:rPr>
          <w:rFonts w:ascii="Calibri" w:hAnsi="Calibri" w:cs="Calibri"/>
          <w:sz w:val="22"/>
          <w:szCs w:val="22"/>
        </w:rPr>
        <w:t xml:space="preserve">Auto de Infração n° 108792, de 21/10/2010. Auto de Inspeção n° 145354, de 21/10/2010. Termo de Apreensão n° 107243, de 21/10/2010. Termo de Depósito n° 110653, de 21/10/2010. Relatório Técnico n° 8724391/DRR/SUAD/2011. Por vender ou comercializar 26,0030 m³ licença válida, outorgada pelo órgão ambiental competente, conforme Auto de Inspeção n° 145354. Decisão Administrativa n. 2189/SPA/SEMA/2018, pela homologação do Auto de Infração n. 108792, de 21/10/2010, arbitrando multa de R$ 7.800,90 (sete mil, oitocentos reais e noventa centavos), com fulcro no artigo 47, § 1° do Decreto Federal 6514/2008. Requer o recorrente que seja na Defesa de (fls. 20/26), instruída com os documentos de (fls. 27/36), espera-se que Vossas Senhorias hajam por bem dar provimento ao recurso, a fim de, preliminarmente, reconhecer-se a prescrição intercorrente, arguidas acima no item n° 2, subitem 2.1, revogando-se a Decisão Administrativa de (fls. 51/52), arquivando-se o processo. Na hipótese de não ser acolhida a tese da ocorrência da prescrição arguida, que seja dado provimento ao recurso para o fim de reconhecer-se que a recorrente não praticou a infração que lhe é imputada, reformando-se a decisão de primeira instância, anulando-se o Auto de Infração n° 108792 (fl.02) e a multa correspondente, para, finalmente, proceder ao arquivamento do presente processo administrativo. </w:t>
      </w:r>
      <w:r>
        <w:rPr>
          <w:rFonts w:ascii="Calibri" w:hAnsi="Calibri" w:cs="Calibri"/>
          <w:sz w:val="22"/>
          <w:szCs w:val="22"/>
        </w:rPr>
        <w:t>Recurso provido.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36BFC" w:rsidRPr="00636BFC" w:rsidRDefault="00270AA2" w:rsidP="00655CAF">
      <w:pPr>
        <w:jc w:val="both"/>
        <w:rPr>
          <w:rFonts w:ascii="Calibri" w:hAnsi="Calibri" w:cs="Calibri"/>
          <w:sz w:val="22"/>
          <w:szCs w:val="22"/>
        </w:rPr>
      </w:pPr>
      <w:r w:rsidRPr="00636BF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36BFC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636BF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36BFC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636BFC">
        <w:rPr>
          <w:rFonts w:asciiTheme="minorHAnsi" w:hAnsiTheme="minorHAnsi" w:cstheme="minorHAnsi"/>
          <w:sz w:val="22"/>
          <w:szCs w:val="22"/>
        </w:rPr>
        <w:t xml:space="preserve"> </w:t>
      </w:r>
      <w:r w:rsidR="00636BFC" w:rsidRPr="00636BFC">
        <w:rPr>
          <w:rFonts w:ascii="Calibri" w:hAnsi="Calibri" w:cs="Calibri"/>
          <w:sz w:val="22"/>
          <w:szCs w:val="22"/>
        </w:rPr>
        <w:t>por maioria, dar provimento ao recurso interposto pelo recorrente, acolhendo o voto divergente apresentado oralmente pela representante da ADE, reconhecendo a prescrição intercorrente, da</w:t>
      </w:r>
      <w:r w:rsidR="00327720">
        <w:rPr>
          <w:rFonts w:ascii="Calibri" w:hAnsi="Calibri" w:cs="Calibri"/>
          <w:sz w:val="22"/>
          <w:szCs w:val="22"/>
        </w:rPr>
        <w:t>s</w:t>
      </w:r>
      <w:bookmarkStart w:id="0" w:name="_GoBack"/>
      <w:bookmarkEnd w:id="0"/>
      <w:r w:rsidR="00636BFC" w:rsidRPr="00636BFC">
        <w:rPr>
          <w:rFonts w:ascii="Calibri" w:hAnsi="Calibri" w:cs="Calibri"/>
          <w:sz w:val="22"/>
          <w:szCs w:val="22"/>
        </w:rPr>
        <w:t xml:space="preserve"> Alegações Finais, de 07/10/2011, (fl. 42) até a Decisão Administrativa n. 2189/SPA/SEMA/2018, 03/10/2018, (fls. 49/52) ficando o processo paralisado por mais de 3 (três) anos sem decisão administrativa. Decidiram pela anulação do Auto de Infração n° 108792, de 21/10/2010, e, consequentemente o arquivamento do processo. 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7720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01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B895-A3DC-4948-8D20-768870A1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2021-11-03T18:16:00Z</dcterms:created>
  <dcterms:modified xsi:type="dcterms:W3CDTF">2021-11-03T23:37:00Z</dcterms:modified>
</cp:coreProperties>
</file>